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30"/>
          <w:szCs w:val="30"/>
        </w:rPr>
        <w:t>专业培训记录</w:t>
      </w:r>
    </w:p>
    <w:p>
      <w:pPr>
        <w:snapToGrid w:val="0"/>
        <w:spacing w:after="120" w:afterLines="50" w:line="320" w:lineRule="exact"/>
        <w:jc w:val="center"/>
        <w:rPr>
          <w:rFonts w:eastAsia="隶书"/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■</w:t>
      </w:r>
      <w:r>
        <w:rPr>
          <w:b/>
          <w:sz w:val="22"/>
          <w:szCs w:val="22"/>
        </w:rPr>
        <w:t xml:space="preserve">QMS  </w:t>
      </w:r>
      <w:r>
        <w:rPr>
          <w:rFonts w:hint="eastAsia"/>
          <w:b/>
          <w:sz w:val="22"/>
          <w:szCs w:val="22"/>
        </w:rPr>
        <w:t>■5</w:t>
      </w:r>
      <w:r>
        <w:rPr>
          <w:b/>
          <w:sz w:val="22"/>
          <w:szCs w:val="22"/>
        </w:rPr>
        <w:t xml:space="preserve">0430  </w:t>
      </w:r>
      <w:bookmarkStart w:id="0" w:name="E勾选"/>
      <w:r>
        <w:rPr>
          <w:rFonts w:hint="eastAsia"/>
          <w:b/>
          <w:sz w:val="22"/>
          <w:szCs w:val="22"/>
        </w:rPr>
        <w:t>■</w:t>
      </w:r>
      <w:bookmarkEnd w:id="0"/>
      <w:r>
        <w:rPr>
          <w:b/>
          <w:sz w:val="22"/>
          <w:szCs w:val="22"/>
        </w:rPr>
        <w:t xml:space="preserve">EMS  </w:t>
      </w:r>
      <w:bookmarkStart w:id="1" w:name="S勾选"/>
      <w:r>
        <w:rPr>
          <w:rFonts w:hint="eastAsia"/>
          <w:b/>
          <w:sz w:val="22"/>
          <w:szCs w:val="22"/>
        </w:rPr>
        <w:t>■</w:t>
      </w:r>
      <w:bookmarkEnd w:id="1"/>
      <w:r>
        <w:rPr>
          <w:b/>
          <w:sz w:val="22"/>
          <w:szCs w:val="22"/>
        </w:rPr>
        <w:t>OHSMS</w:t>
      </w:r>
    </w:p>
    <w:tbl>
      <w:tblPr>
        <w:tblStyle w:val="5"/>
        <w:tblW w:w="106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340"/>
        <w:gridCol w:w="1305"/>
        <w:gridCol w:w="1067"/>
        <w:gridCol w:w="982"/>
        <w:gridCol w:w="905"/>
        <w:gridCol w:w="1742"/>
        <w:gridCol w:w="242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224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受审核方名称</w:t>
            </w:r>
          </w:p>
        </w:tc>
        <w:tc>
          <w:tcPr>
            <w:tcW w:w="4259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2" w:name="组织名称"/>
            <w:r>
              <w:rPr>
                <w:b/>
                <w:sz w:val="20"/>
              </w:rPr>
              <w:t>四川东晨光建设工程有限公司</w:t>
            </w:r>
            <w:bookmarkEnd w:id="2"/>
          </w:p>
        </w:tc>
        <w:tc>
          <w:tcPr>
            <w:tcW w:w="1742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2423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3" w:name="专业代码"/>
            <w:r>
              <w:rPr>
                <w:b/>
                <w:sz w:val="20"/>
              </w:rPr>
              <w:t>O：28.02.00;28.03.01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EC：28.02.00;28.03.01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E：28.02.00;28.03.01</w:t>
            </w:r>
            <w:bookmarkEnd w:id="3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2249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372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李凤仪</w:t>
            </w: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905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同上</w:t>
            </w:r>
          </w:p>
        </w:tc>
        <w:tc>
          <w:tcPr>
            <w:tcW w:w="1742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会议室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90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李林</w:t>
            </w:r>
          </w:p>
        </w:tc>
        <w:tc>
          <w:tcPr>
            <w:tcW w:w="106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90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4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90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130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无</w:t>
            </w:r>
          </w:p>
        </w:tc>
        <w:tc>
          <w:tcPr>
            <w:tcW w:w="1067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98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905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42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市政公用工程流程：签订合同—组建项目部—编制施工组织设计—组织施工—过程检验—分部分项验收—竣工验收—交付及交付后的活动。</w:t>
            </w:r>
          </w:p>
          <w:p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建筑工程：建筑物定位放线—基坑开挖—地基处理—基础分项工程施工—主体各分项工程施工—室内工程—室外工程—扫尾工程—竣工验收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5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</w:p>
        </w:tc>
        <w:tc>
          <w:tcPr>
            <w:tcW w:w="8424" w:type="dxa"/>
            <w:gridSpan w:val="6"/>
            <w:vAlign w:val="top"/>
          </w:tcPr>
          <w:p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关键过程：软地基处理、隐蔽工程、基坑开挖、模板支护等等</w:t>
            </w:r>
          </w:p>
          <w:p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制定专项方案及作业指导书；</w:t>
            </w:r>
          </w:p>
          <w:p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特殊过程：结构焊接过程、特殊防水过程、大体积混凝土浇筑等进行特殊过程确认；</w:t>
            </w:r>
          </w:p>
          <w:p>
            <w:pPr>
              <w:rPr>
                <w:rFonts w:ascii="Times New Roman" w:hAnsi="Times New Roman" w:eastAsia="宋体" w:cs="Times New Roman"/>
                <w:b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b/>
                <w:sz w:val="20"/>
              </w:rPr>
              <w:t>对关键过程和特殊过程有效控制。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8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重要环境因素</w:t>
            </w:r>
            <w:r>
              <w:rPr>
                <w:b/>
                <w:sz w:val="20"/>
              </w:rPr>
              <w:t>:1</w:t>
            </w:r>
            <w:r>
              <w:rPr>
                <w:rFonts w:hint="eastAsia"/>
                <w:b/>
                <w:sz w:val="20"/>
              </w:rPr>
              <w:t>）粉尘排放；</w:t>
            </w:r>
            <w:r>
              <w:rPr>
                <w:b/>
                <w:sz w:val="20"/>
              </w:rPr>
              <w:t>2</w:t>
            </w:r>
            <w:r>
              <w:rPr>
                <w:rFonts w:hint="eastAsia"/>
                <w:b/>
                <w:sz w:val="20"/>
              </w:rPr>
              <w:t>）噪声排放；</w:t>
            </w:r>
            <w:r>
              <w:rPr>
                <w:b/>
                <w:sz w:val="20"/>
              </w:rPr>
              <w:t>3</w:t>
            </w:r>
            <w:r>
              <w:rPr>
                <w:rFonts w:hint="eastAsia"/>
                <w:b/>
                <w:sz w:val="20"/>
              </w:rPr>
              <w:t>）固废（含危废）排放；</w:t>
            </w:r>
            <w:r>
              <w:rPr>
                <w:b/>
                <w:sz w:val="20"/>
              </w:rPr>
              <w:t>4</w:t>
            </w:r>
            <w:r>
              <w:rPr>
                <w:rFonts w:hint="eastAsia"/>
                <w:b/>
                <w:sz w:val="20"/>
              </w:rPr>
              <w:t>）废水排放；</w:t>
            </w:r>
            <w:r>
              <w:rPr>
                <w:b/>
                <w:sz w:val="20"/>
              </w:rPr>
              <w:t>5</w:t>
            </w:r>
            <w:r>
              <w:rPr>
                <w:rFonts w:hint="eastAsia"/>
                <w:b/>
                <w:sz w:val="20"/>
              </w:rPr>
              <w:t>）火灾爆炸；</w:t>
            </w:r>
            <w:r>
              <w:rPr>
                <w:b/>
                <w:sz w:val="20"/>
              </w:rPr>
              <w:t>6</w:t>
            </w:r>
            <w:r>
              <w:rPr>
                <w:rFonts w:hint="eastAsia"/>
                <w:b/>
                <w:sz w:val="20"/>
              </w:rPr>
              <w:t>）资源浪费；</w:t>
            </w:r>
            <w:r>
              <w:rPr>
                <w:b/>
                <w:sz w:val="20"/>
              </w:rPr>
              <w:t>7</w:t>
            </w:r>
            <w:r>
              <w:rPr>
                <w:rFonts w:hint="eastAsia"/>
                <w:b/>
                <w:sz w:val="20"/>
              </w:rPr>
              <w:t>）废气排放。抽查以下二项环境因素的控制措施：</w:t>
            </w:r>
          </w:p>
          <w:p>
            <w:pPr>
              <w:snapToGrid w:val="0"/>
              <w:spacing w:line="28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rFonts w:hint="eastAsia"/>
                <w:b/>
                <w:sz w:val="20"/>
              </w:rPr>
              <w:t>、噪声控制：</w:t>
            </w:r>
            <w:r>
              <w:rPr>
                <w:b/>
                <w:sz w:val="20"/>
              </w:rPr>
              <w:t>1</w:t>
            </w:r>
            <w:r>
              <w:rPr>
                <w:rFonts w:hint="eastAsia"/>
                <w:b/>
                <w:sz w:val="20"/>
              </w:rPr>
              <w:t>）对噪声在的设备进行隔音处理；</w:t>
            </w:r>
            <w:r>
              <w:rPr>
                <w:b/>
                <w:sz w:val="20"/>
              </w:rPr>
              <w:t>2</w:t>
            </w:r>
            <w:r>
              <w:rPr>
                <w:rFonts w:hint="eastAsia"/>
                <w:b/>
                <w:sz w:val="20"/>
              </w:rPr>
              <w:t>）对噪声大的设备采取减震措施；</w:t>
            </w:r>
            <w:r>
              <w:rPr>
                <w:b/>
                <w:sz w:val="20"/>
              </w:rPr>
              <w:t>3</w:t>
            </w:r>
            <w:r>
              <w:rPr>
                <w:rFonts w:hint="eastAsia"/>
                <w:b/>
                <w:sz w:val="20"/>
              </w:rPr>
              <w:t>）加强施工设备的维护、保养；</w:t>
            </w:r>
            <w:r>
              <w:rPr>
                <w:b/>
                <w:sz w:val="20"/>
              </w:rPr>
              <w:t>4</w:t>
            </w:r>
            <w:r>
              <w:rPr>
                <w:rFonts w:hint="eastAsia"/>
                <w:b/>
                <w:sz w:val="20"/>
              </w:rPr>
              <w:t>）控制施工作业时间，避免午间、夜晚施工。</w:t>
            </w:r>
          </w:p>
          <w:p>
            <w:pPr>
              <w:snapToGrid w:val="0"/>
              <w:spacing w:line="280" w:lineRule="exact"/>
              <w:rPr>
                <w:rFonts w:ascii="Times New Roman" w:hAnsi="Times New Roman" w:eastAsia="宋体" w:cs="Times New Roman"/>
                <w:b/>
                <w:kern w:val="2"/>
                <w:sz w:val="20"/>
                <w:lang w:val="en-US" w:eastAsia="zh-CN" w:bidi="ar-SA"/>
              </w:rPr>
            </w:pPr>
            <w:r>
              <w:rPr>
                <w:b/>
                <w:sz w:val="20"/>
              </w:rPr>
              <w:t>2</w:t>
            </w:r>
            <w:r>
              <w:rPr>
                <w:rFonts w:hint="eastAsia"/>
                <w:b/>
                <w:sz w:val="20"/>
              </w:rPr>
              <w:t>、固废（含危废）废弃物：</w:t>
            </w:r>
            <w:r>
              <w:rPr>
                <w:b/>
                <w:sz w:val="20"/>
              </w:rPr>
              <w:t>1)</w:t>
            </w:r>
            <w:r>
              <w:rPr>
                <w:rFonts w:hint="eastAsia"/>
                <w:b/>
                <w:sz w:val="20"/>
              </w:rPr>
              <w:t>可利用的物资进行回收；</w:t>
            </w:r>
            <w:r>
              <w:rPr>
                <w:b/>
                <w:sz w:val="20"/>
              </w:rPr>
              <w:t>2</w:t>
            </w:r>
            <w:r>
              <w:rPr>
                <w:rFonts w:hint="eastAsia"/>
                <w:b/>
                <w:sz w:val="20"/>
              </w:rPr>
              <w:t>）生活垃圾交环卫公司清运、处理；</w:t>
            </w:r>
            <w:r>
              <w:rPr>
                <w:b/>
                <w:sz w:val="20"/>
              </w:rPr>
              <w:t>3</w:t>
            </w:r>
            <w:r>
              <w:rPr>
                <w:rFonts w:hint="eastAsia"/>
                <w:b/>
                <w:sz w:val="20"/>
              </w:rPr>
              <w:t>）危险固废物交由资质的单位处理，等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3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火灾、触电、物体打击、机械伤害、坍塌或垮塌、高处坠落、中暑、食物中毒、暴雨和洪水等</w:t>
            </w:r>
          </w:p>
          <w:p>
            <w:pPr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b/>
                <w:kern w:val="2"/>
                <w:sz w:val="20"/>
                <w:lang w:val="en-US" w:eastAsia="zh-CN" w:bidi="ar-SA"/>
              </w:rPr>
            </w:pPr>
            <w:r>
              <w:rPr>
                <w:rFonts w:hint="eastAsia"/>
                <w:b/>
                <w:sz w:val="20"/>
              </w:rPr>
              <w:t>制定管理方案和应急预案，控制有效。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1、《建筑工程现场临时用电安全技术规范》（GB50194-93）；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2、《施工现场临时用电安全技术规范》（JGJ46-2005）；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3、《建筑施工安全检查标准》（JGJ59-2011）；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4、《水工混凝土施工规范》（DL/T5144-2001）；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5、《水工混凝土试验规程》（DL/T5150-2001）；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6、《水工混凝土钢筋施工规范》（DL-T5169-2013）；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7、《钢筋焊接及验收规程》（JGJ 18-2012）；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8、《混凝土结构工程施工质量验收规范》（GB50204-2002）；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9、《碾压土石坝施工规范》（DL/T5129-2001）；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10、《建筑桩基技术规范》（JGJ94-94）；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11、《水工建筑物岩石基础开挖工程施工技术规范》（SL47-1997）；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 xml:space="preserve">12、《公路桥涵施工技术规范》（JTG-TF50-2011）等 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13、《建筑抗震设计规范》（GB50011-2010）</w:t>
            </w:r>
          </w:p>
          <w:p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  <w:szCs w:val="22"/>
              </w:rPr>
            </w:pPr>
            <w:r>
              <w:rPr>
                <w:rFonts w:hint="eastAsia"/>
                <w:b/>
                <w:sz w:val="20"/>
                <w:szCs w:val="22"/>
              </w:rPr>
              <w:t>14、《中国地震动参数区划图》（GB18306-2015）等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2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424" w:type="dxa"/>
            <w:gridSpan w:val="6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default"/>
                <w:b/>
                <w:sz w:val="20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2"/>
              </w:rPr>
              <w:t>原材料的复检及分项分部验收和竣工验收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6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eastAsia="宋体"/>
                <w:b/>
                <w:sz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lang w:val="en-US" w:eastAsia="zh-CN"/>
              </w:rPr>
              <w:t>无</w:t>
            </w:r>
          </w:p>
        </w:tc>
      </w:tr>
    </w:tbl>
    <w:p>
      <w:pPr>
        <w:snapToGrid w:val="0"/>
        <w:rPr>
          <w:rFonts w:ascii="宋体"/>
          <w:b/>
          <w:sz w:val="22"/>
          <w:szCs w:val="22"/>
        </w:rPr>
      </w:pPr>
      <w:r>
        <w:rPr>
          <w:rFonts w:hint="eastAsia" w:ascii="宋体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hint="eastAsia" w:ascii="宋体"/>
          <w:b/>
          <w:sz w:val="22"/>
          <w:szCs w:val="22"/>
        </w:rPr>
        <w:t>专业人员)：</w:t>
      </w:r>
      <w:r>
        <w:rPr>
          <w:rFonts w:hint="eastAsia" w:ascii="宋体"/>
          <w:b/>
          <w:sz w:val="22"/>
          <w:szCs w:val="22"/>
          <w:lang w:val="en-US" w:eastAsia="zh-CN"/>
        </w:rPr>
        <w:t>李凤仪</w:t>
      </w:r>
      <w:r>
        <w:rPr>
          <w:rFonts w:hint="eastAsia" w:ascii="宋体"/>
          <w:b/>
          <w:sz w:val="22"/>
          <w:szCs w:val="22"/>
        </w:rPr>
        <w:t xml:space="preserve">   日期：</w:t>
      </w:r>
      <w:r>
        <w:rPr>
          <w:rFonts w:hint="eastAsia" w:ascii="宋体"/>
          <w:b/>
          <w:sz w:val="22"/>
          <w:szCs w:val="22"/>
          <w:lang w:val="en-US" w:eastAsia="zh-CN"/>
        </w:rPr>
        <w:t>2020.08.06</w:t>
      </w:r>
      <w:r>
        <w:rPr>
          <w:rFonts w:hint="eastAsia" w:ascii="宋体"/>
          <w:b/>
          <w:sz w:val="22"/>
          <w:szCs w:val="22"/>
        </w:rPr>
        <w:t xml:space="preserve">        审核组长：</w:t>
      </w:r>
      <w:r>
        <w:rPr>
          <w:rFonts w:hint="eastAsia" w:ascii="宋体"/>
          <w:b/>
          <w:sz w:val="22"/>
          <w:szCs w:val="22"/>
          <w:lang w:val="en-US" w:eastAsia="zh-CN"/>
        </w:rPr>
        <w:t>李凤仪</w:t>
      </w:r>
      <w:r>
        <w:rPr>
          <w:rFonts w:hint="eastAsia" w:ascii="宋体"/>
          <w:b/>
          <w:sz w:val="22"/>
          <w:szCs w:val="22"/>
        </w:rPr>
        <w:t xml:space="preserve">    日期：</w:t>
      </w:r>
      <w:r>
        <w:rPr>
          <w:rFonts w:hint="eastAsia" w:ascii="宋体"/>
          <w:b/>
          <w:sz w:val="22"/>
          <w:szCs w:val="22"/>
          <w:lang w:val="en-US" w:eastAsia="zh-CN"/>
        </w:rPr>
        <w:t>2020.08.06</w:t>
      </w:r>
    </w:p>
    <w:p>
      <w:pPr>
        <w:snapToGrid w:val="0"/>
        <w:rPr>
          <w:rFonts w:ascii="宋体"/>
          <w:b/>
          <w:spacing w:val="-6"/>
          <w:sz w:val="18"/>
          <w:szCs w:val="18"/>
        </w:rPr>
      </w:pPr>
    </w:p>
    <w:p>
      <w:pPr>
        <w:snapToGrid w:val="0"/>
        <w:rPr>
          <w:rFonts w:ascii="宋体"/>
          <w:b/>
          <w:spacing w:val="-6"/>
          <w:sz w:val="20"/>
        </w:rPr>
      </w:pPr>
      <w:r>
        <w:rPr>
          <w:rFonts w:hint="eastAsia" w:ascii="宋体"/>
          <w:b/>
          <w:spacing w:val="-6"/>
          <w:sz w:val="18"/>
          <w:szCs w:val="18"/>
        </w:rPr>
        <w:t>注：</w:t>
      </w:r>
      <w:r>
        <w:rPr>
          <w:rFonts w:hint="eastAsia" w:ascii="宋体"/>
          <w:b/>
          <w:spacing w:val="-6"/>
          <w:sz w:val="21"/>
          <w:szCs w:val="21"/>
        </w:rPr>
        <w:t>如有其他培训内容或空格不够可另加附页</w:t>
      </w:r>
      <w:bookmarkStart w:id="4" w:name="_GoBack"/>
      <w:bookmarkEnd w:id="4"/>
    </w:p>
    <w:sectPr>
      <w:headerReference r:id="rId3" w:type="default"/>
      <w:pgSz w:w="11906" w:h="16838"/>
      <w:pgMar w:top="1134" w:right="1077" w:bottom="1134" w:left="1077" w:header="561" w:footer="482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0"/>
        <w:rFonts w:hint="default"/>
      </w:rPr>
    </w:pPr>
    <w:r>
      <w:pict>
        <v:shape id="图片 24" o:spid="_x0000_s4097" o:spt="75" type="#_x0000_t75" style="position:absolute;left:0pt;margin-left:-0.05pt;margin-top:0.35pt;height:34.1pt;width:32.3pt;mso-wrap-distance-left:9pt;mso-wrap-distance-right:9pt;z-index:-251658240;mso-width-relative:page;mso-height-relative:page;" filled="f" o:preferrelative="t" stroked="f" coordsize="21600,21600" wrapcoords="21592 -2 0 0 0 21600 21592 21602 8 21602 21600 21600 21600 0 8 -2 21592 -2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rPr>
        <w:rStyle w:val="10"/>
        <w:rFonts w:hint="default"/>
      </w:rPr>
      <w:t>北京国标联合认证有限公司</w:t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pict>
        <v:shape id="文本框 1" o:spid="_x0000_s4098" o:spt="202" type="#_x0000_t202" style="position:absolute;left:0pt;margin-left:325.25pt;margin-top:2.2pt;height:20.2pt;width:15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ISC-B-II-0</w:t>
                </w:r>
                <w:r>
                  <w:rPr>
                    <w:sz w:val="18"/>
                    <w:szCs w:val="18"/>
                  </w:rPr>
                  <w:t>6</w:t>
                </w:r>
                <w:r>
                  <w:rPr>
                    <w:rFonts w:hint="eastAsia"/>
                    <w:sz w:val="18"/>
                    <w:szCs w:val="18"/>
                  </w:rPr>
                  <w:t xml:space="preserve"> 专业培训记录(03版)</w:t>
                </w:r>
              </w:p>
            </w:txbxContent>
          </v:textbox>
        </v:shape>
      </w:pict>
    </w:r>
    <w:r>
      <w:rPr>
        <w:rStyle w:val="10"/>
        <w:rFonts w:hint="default"/>
      </w:rPr>
      <w:t xml:space="preserve">        </w:t>
    </w:r>
    <w:r>
      <w:rPr>
        <w:rStyle w:val="10"/>
        <w:rFonts w:hint="default"/>
        <w:w w:val="90"/>
      </w:rPr>
      <w:t>Beijing International Standard united Certification Co.,Ltd.</w:t>
    </w:r>
    <w:r>
      <w:rPr>
        <w:rStyle w:val="10"/>
        <w:rFonts w:hint="default"/>
        <w:w w:val="90"/>
        <w:szCs w:val="21"/>
      </w:rPr>
      <w:t xml:space="preserve">  </w:t>
    </w:r>
    <w:r>
      <w:rPr>
        <w:rStyle w:val="10"/>
        <w:rFonts w:hint="default"/>
        <w:w w:val="90"/>
        <w:sz w:val="20"/>
      </w:rPr>
      <w:t xml:space="preserve"> </w:t>
    </w:r>
    <w:r>
      <w:rPr>
        <w:rStyle w:val="10"/>
        <w:rFonts w:hint="default"/>
        <w:w w:val="90"/>
      </w:rPr>
      <w:t xml:space="preserve">                   </w:t>
    </w:r>
  </w:p>
  <w:p>
    <w:pPr>
      <w:pStyle w:val="4"/>
    </w:pPr>
  </w:p>
  <w:p>
    <w:pPr>
      <w:tabs>
        <w:tab w:val="left" w:pos="9245"/>
      </w:tabs>
      <w:wordWrap w:val="0"/>
      <w:ind w:right="64" w:firstLine="4600" w:firstLineChars="2300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2030A1A"/>
    <w:rsid w:val="0A111076"/>
    <w:rsid w:val="14D83788"/>
    <w:rsid w:val="264D0493"/>
    <w:rsid w:val="434602E0"/>
    <w:rsid w:val="60046C7E"/>
    <w:rsid w:val="72791A49"/>
    <w:rsid w:val="7A63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 w:locked="1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link w:val="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link w:val="2"/>
    <w:semiHidden/>
    <w:uiPriority w:val="99"/>
    <w:rPr>
      <w:rFonts w:ascii="Times New Roman" w:hAnsi="Times New Roman"/>
      <w:sz w:val="18"/>
      <w:szCs w:val="18"/>
    </w:rPr>
  </w:style>
  <w:style w:type="character" w:customStyle="1" w:styleId="10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46</Words>
  <Characters>267</Characters>
  <Lines>2</Lines>
  <Paragraphs>1</Paragraphs>
  <TotalTime>1</TotalTime>
  <ScaleCrop>false</ScaleCrop>
  <LinksUpToDate>false</LinksUpToDate>
  <CharactersWithSpaces>312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2015-06-17T11:40:00Z</dcterms:created>
  <dc:creator>微软用户</dc:creator>
  <cp:lastModifiedBy>way一直都在</cp:lastModifiedBy>
  <dcterms:modified xsi:type="dcterms:W3CDTF">2020-08-06T01:43:49Z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